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017.0" w:type="dxa"/>
        <w:jc w:val="left"/>
        <w:tblLayout w:type="fixed"/>
        <w:tblLook w:val="0000"/>
      </w:tblPr>
      <w:tblGrid>
        <w:gridCol w:w="2017"/>
        <w:tblGridChange w:id="0">
          <w:tblGrid>
            <w:gridCol w:w="2017"/>
          </w:tblGrid>
        </w:tblGridChange>
      </w:tblGrid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/>
              <w:drawing>
                <wp:inline distB="0" distT="0" distL="0" distR="0">
                  <wp:extent cx="1152525" cy="1495425"/>
                  <wp:effectExtent b="9525" l="9525" r="9525" t="9525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95425"/>
                          </a:xfrm>
                          <a:prstGeom prst="rect"/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color w:val="000000"/>
          <w:sz w:val="40"/>
          <w:szCs w:val="40"/>
          <w:shd w:fill="fefefe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  <w:rtl w:val="0"/>
        </w:rPr>
        <w:t xml:space="preserve">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240" w:lineRule="auto"/>
        <w:rPr>
          <w:color w:val="993366"/>
          <w:sz w:val="40"/>
          <w:szCs w:val="40"/>
          <w:shd w:fill="fefefe" w:val="clear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                                  </w:t>
      </w:r>
      <w:r w:rsidDel="00000000" w:rsidR="00000000" w:rsidRPr="00000000">
        <w:rPr>
          <w:b w:val="1"/>
          <w:i w:val="1"/>
          <w:color w:val="993366"/>
          <w:sz w:val="40"/>
          <w:szCs w:val="40"/>
          <w:shd w:fill="fefefe" w:val="clear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-972.0" w:type="dxa"/>
        <w:tblLayout w:type="fixed"/>
        <w:tblLook w:val="0000"/>
      </w:tblPr>
      <w:tblGrid>
        <w:gridCol w:w="2877"/>
        <w:gridCol w:w="1803"/>
        <w:gridCol w:w="1080"/>
        <w:gridCol w:w="736"/>
        <w:gridCol w:w="1842"/>
        <w:gridCol w:w="2462"/>
        <w:tblGridChange w:id="0">
          <w:tblGrid>
            <w:gridCol w:w="2877"/>
            <w:gridCol w:w="1803"/>
            <w:gridCol w:w="1080"/>
            <w:gridCol w:w="736"/>
            <w:gridCol w:w="1842"/>
            <w:gridCol w:w="2462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Surname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Gasimov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Elvin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Place of Birth / City &amp;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Azerbaijan, Lankaran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Nationality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10.12.1986.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Permanent 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Absheron, Masazır 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Mob. 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+99450 3410033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i w:val="1"/>
                  <w:color w:val="0000ff"/>
                  <w:sz w:val="28"/>
                  <w:szCs w:val="28"/>
                  <w:u w:val="single"/>
                  <w:shd w:fill="fefefe" w:val="clear"/>
                  <w:rtl w:val="0"/>
                </w:rPr>
                <w:t xml:space="preserve">elibalagasimov@gmail.com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i w:val="1"/>
                  <w:color w:val="0000ff"/>
                  <w:sz w:val="28"/>
                  <w:szCs w:val="28"/>
                  <w:u w:val="single"/>
                  <w:shd w:fill="fefefe" w:val="clear"/>
                  <w:rtl w:val="0"/>
                </w:rPr>
                <w:t xml:space="preserve">e_gasimov@mail.ru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60" w:before="240" w:lineRule="auto"/>
              <w:rPr>
                <w:color w:val="0000ff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b w:val="1"/>
                <w:i w:val="1"/>
                <w:color w:val="0000ff"/>
                <w:sz w:val="28"/>
                <w:szCs w:val="28"/>
                <w:shd w:fill="fefefe" w:val="clear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Able Seaman.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Motorman.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DOCUMENTS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   ISSUED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    VALID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i w:val="1"/>
                <w:color w:val="0000ff"/>
                <w:sz w:val="24"/>
                <w:szCs w:val="24"/>
                <w:rtl w:val="0"/>
              </w:rPr>
              <w:t xml:space="preserve">COUNTRY,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entury Schoolbook" w:cs="Century Schoolbook" w:eastAsia="Century Schoolbook" w:hAnsi="Century Schoolbook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IV degree </w:t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Able Seaman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 000393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28.06.2011.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      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COC MOTORMAN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(RATING FORMING PART OF AN ENGINE-ROOM WATCH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RP04873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06.09.2023.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      ---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                               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Able Seaman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RP 04873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N/A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Ship Security-related familiarization security-awareness training.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SI-0698-23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02.03.2023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02.03.2028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Medical First 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SN-0578-19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19.08.2019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19.08.2024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Leadership and Teamwork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DL-0244-19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24.08.2019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24.08.2024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Engine Resource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ER-0152-19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26.08.2019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26.08.2024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Training in Advanced Fire-Fighting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SJ-0761-19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29.08.2019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29.08.2024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Personal survival techniques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SO-1286-21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Fire prevention and fire fighting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SO-1286-21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Elementary first aid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SO-1286-21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Personal safety and social responsibilities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SO-1286-21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23.06.2026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International Safety Management Code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SP-0694-23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01.03.2023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01.03.2028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Proficiency in survival craft and boats other than fast rescue boats.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SL-0702-23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24.02.2023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24.02.2028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Helicopter Underwater Escape Training (HUET including EBS 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62615095040719833581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04.07.2019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03.07.2023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Azerbaijan, OTI.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Helideck Emergency Response Team Member (HERTM) Training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052704122071900225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22.07.2019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21.07.2021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Azerbaijan, OTI.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Helideck Operations Initial Training</w:t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052704012071900257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12.07.2019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N / 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Azerbaijan, OTI.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Dangerous Goods Management By Air Awareness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05209071900822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09.07.2019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08.07.2021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Azerbaijan, OTI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Seaman passport</w:t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 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024791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20.04.2022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20.04.2027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Azerbaijan.</w:t>
            </w:r>
          </w:p>
        </w:tc>
      </w:tr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Training for seafarers with designated security duties.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SH-0376-23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22.02.2023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22.02.2028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Azerbaijan.</w:t>
            </w:r>
          </w:p>
        </w:tc>
      </w:tr>
      <w:tr>
        <w:trPr>
          <w:cantSplit w:val="0"/>
          <w:trHeight w:val="11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Medical Certificate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   - - - - 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30.08.2023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30.08.2025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Azerbaijan.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Banksman &amp;Slinger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BS-22599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27.05.2022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27.05.2025.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Azerbaijan, AMOS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Travel Passport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C03881754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31.03.2022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30.03.2032.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Azerbaijan.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Basic training and qualifications on oil and chemical tanker cargo operations.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SA-0274-21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01.09.2021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01.09.2026.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Azerbaijan.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I graduated seamanship course operation of ship power plants Kiev State Maritime Academy Hetman Petro Konashewych - Sagaydachnogo.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(KSMA).</w:t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003300"/>
                <w:sz w:val="28"/>
                <w:szCs w:val="28"/>
                <w:shd w:fill="fefefe" w:val="clear"/>
                <w:rtl w:val="0"/>
              </w:rPr>
              <w:t xml:space="preserve">Specialist-Engineer.</w:t>
            </w:r>
          </w:p>
        </w:tc>
      </w:tr>
    </w:tbl>
    <w:p w:rsidR="00000000" w:rsidDel="00000000" w:rsidP="00000000" w:rsidRDefault="00000000" w:rsidRPr="00000000" w14:paraId="000001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3.999999999998" w:type="dxa"/>
        <w:jc w:val="left"/>
        <w:tblInd w:w="-9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"/>
        <w:gridCol w:w="1590"/>
        <w:gridCol w:w="1417"/>
        <w:gridCol w:w="1418"/>
        <w:gridCol w:w="1275"/>
        <w:gridCol w:w="1560"/>
        <w:gridCol w:w="1275"/>
        <w:gridCol w:w="1276"/>
        <w:tblGridChange w:id="0">
          <w:tblGrid>
            <w:gridCol w:w="963"/>
            <w:gridCol w:w="1590"/>
            <w:gridCol w:w="1417"/>
            <w:gridCol w:w="1418"/>
            <w:gridCol w:w="1275"/>
            <w:gridCol w:w="1560"/>
            <w:gridCol w:w="1275"/>
            <w:gridCol w:w="1276"/>
          </w:tblGrid>
        </w:tblGridChange>
      </w:tblGrid>
      <w:tr>
        <w:trPr>
          <w:cantSplit w:val="0"/>
          <w:tblHeader w:val="0"/>
        </w:trPr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1. VESSEL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2. 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3. 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4. TYPE OF 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5. DWT or GRT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6. OPERATIONAL AREA &amp; OILFIELD NAME -COUNTRY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7. SIGN 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48dd4" w:val="clear"/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b w:val="1"/>
                <w:i w:val="1"/>
                <w:color w:val="000000"/>
                <w:sz w:val="28"/>
                <w:szCs w:val="28"/>
                <w:shd w:fill="fefefe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8. SIGN OFF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Gilavar</w:t>
            </w:r>
          </w:p>
        </w:tc>
        <w:tc>
          <w:tcPr/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Geo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 &amp; MOTORMAN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SEISMIC RESEARCH VESSEL</w:t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GRT 3779</w:t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DWT 1400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Sea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01.04.2022.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31.05.2023.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Consul</w:t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Consul Shipping Limited</w:t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 &amp; MOTORMAN</w:t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DRY CARGO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GRT 2827 </w:t>
            </w:r>
          </w:p>
        </w:tc>
        <w:tc>
          <w:tcPr/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Azov Sea, Black Sea, Agean Sea, Mediterranean Sea. 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27.09.2021.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29.03.2022.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Nakhchivan Valletta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Palmali Company</w:t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 &amp; MOTORMAN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DRY CARGO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GRT 5684</w:t>
            </w:r>
          </w:p>
        </w:tc>
        <w:tc>
          <w:tcPr/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Black Sea, Atlantic Ocean, Mediterranean Sea.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14.05.2018.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23.10.2018.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TZ-418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Geokinetics Company.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SEISMIC RESEARCH VESSEL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Sea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03.05.2016.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03.01.2017.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Gilavar</w:t>
            </w:r>
          </w:p>
        </w:tc>
        <w:tc>
          <w:tcPr/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Geophysical with Western Geco and with Schlumberger.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8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SEISMIC RESEARCH VESSEL</w:t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GRT 3779</w:t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DWT 1400</w:t>
            </w:r>
          </w:p>
        </w:tc>
        <w:tc>
          <w:tcPr/>
          <w:p w:rsidR="00000000" w:rsidDel="00000000" w:rsidP="00000000" w:rsidRDefault="00000000" w:rsidRPr="00000000" w14:paraId="0000018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Sea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11.08.2015.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03.08.2016.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Gurban Abbasov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Marine Service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CRANE VESSEL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DWT 3343</w:t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Sea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09.09.2014.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03.08.2015.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Gilavar</w:t>
            </w:r>
          </w:p>
        </w:tc>
        <w:tc>
          <w:tcPr/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Geophysical with Western Geco and with Schlumberger.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AB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SEISMIC RESEARCH VESSEL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GRT 3779</w:t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DWT 1400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Caspian Sea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25.07.2011.</w:t>
            </w:r>
          </w:p>
        </w:tc>
        <w:tc>
          <w:tcPr/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color w:val="4f6228"/>
                <w:shd w:fill="fefefe" w:val="clear"/>
                <w:rtl w:val="0"/>
              </w:rPr>
              <w:t xml:space="preserve">19.03.2014.</w:t>
            </w:r>
          </w:p>
        </w:tc>
      </w:tr>
    </w:tbl>
    <w:p w:rsidR="00000000" w:rsidDel="00000000" w:rsidP="00000000" w:rsidRDefault="00000000" w:rsidRPr="00000000" w14:paraId="000001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i w:val="1"/>
          <w:color w:val="000000"/>
          <w:sz w:val="28"/>
          <w:szCs w:val="28"/>
          <w:shd w:fill="fefefe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Nanum Gothic"/>
  <w:font w:name="Georgia"/>
  <w:font w:name="Arial"/>
  <w:font w:name="Century Schoolbook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Nanum Gothic" w:cs="Nanum Gothic" w:eastAsia="Nanum Gothic" w:hAnsi="Nanum Gothic"/>
        <w:sz w:val="21"/>
        <w:szCs w:val="21"/>
        <w:lang w:val="en-US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Nanum Gothic" w:cs="Nanum Gothic" w:eastAsia="Nanum Gothic" w:hAnsi="Nanum Gothic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elibalagasimov@gmail.com" TargetMode="External"/><Relationship Id="rId8" Type="http://schemas.openxmlformats.org/officeDocument/2006/relationships/hyperlink" Target="mailto:e_gasim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